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97E01" w14:textId="6157BF38" w:rsidR="00F63AE0" w:rsidRPr="00F63AE0" w:rsidRDefault="013D9F31" w:rsidP="013D9F31">
      <w:pPr>
        <w:spacing w:before="120" w:after="120"/>
        <w:rPr>
          <w:b/>
          <w:bCs/>
          <w:sz w:val="44"/>
          <w:szCs w:val="44"/>
        </w:rPr>
      </w:pPr>
      <w:r w:rsidRPr="013D9F31">
        <w:rPr>
          <w:b/>
          <w:bCs/>
          <w:sz w:val="44"/>
          <w:szCs w:val="44"/>
        </w:rPr>
        <w:t xml:space="preserve">SPOTT Natural </w:t>
      </w:r>
      <w:r w:rsidR="00056C63">
        <w:rPr>
          <w:b/>
          <w:bCs/>
          <w:sz w:val="44"/>
          <w:szCs w:val="44"/>
        </w:rPr>
        <w:t>R</w:t>
      </w:r>
      <w:r w:rsidRPr="013D9F31">
        <w:rPr>
          <w:b/>
          <w:bCs/>
          <w:sz w:val="44"/>
          <w:szCs w:val="44"/>
        </w:rPr>
        <w:t>ubber: Indicator framework</w:t>
      </w:r>
    </w:p>
    <w:p w14:paraId="04D3D3B1" w14:textId="72D6E09C" w:rsidR="005059D9" w:rsidRPr="00F63AE0" w:rsidRDefault="013D9F31" w:rsidP="013D9F31">
      <w:pPr>
        <w:spacing w:after="120"/>
        <w:rPr>
          <w:b/>
          <w:bCs/>
          <w:sz w:val="36"/>
          <w:szCs w:val="36"/>
        </w:rPr>
      </w:pPr>
      <w:r w:rsidRPr="013D9F31">
        <w:rPr>
          <w:b/>
          <w:bCs/>
          <w:sz w:val="36"/>
          <w:szCs w:val="36"/>
        </w:rPr>
        <w:t>Consultation on the new indicator framework – June 2019</w:t>
      </w:r>
    </w:p>
    <w:p w14:paraId="391C00F7" w14:textId="261DF3DB" w:rsidR="00DD3212" w:rsidRDefault="71EA95FE" w:rsidP="71EA95FE">
      <w:pPr>
        <w:spacing w:after="120"/>
        <w:jc w:val="both"/>
      </w:pPr>
      <w:r>
        <w:t xml:space="preserve">Developed by the Zoological Society of London (ZSL), SPOTT (Sustainability Policy Transparency Toolkit) is a free, online platform promoting transparency and accountability to drive implementation of environmental and social best practice for the sustainable production and trade of global commodities. </w:t>
      </w:r>
    </w:p>
    <w:p w14:paraId="7129F5B4" w14:textId="0608B44D" w:rsidR="00DD3212" w:rsidRDefault="013D9F31" w:rsidP="013D9F31">
      <w:pPr>
        <w:spacing w:after="120"/>
        <w:jc w:val="both"/>
      </w:pPr>
      <w:r>
        <w:t>Launched in 2014, SPOTT has published regular transparency assessments scoring some of the largest palm oil producers and traders on the public availability of corporate information relating to environmental, social and governance (ESG) issues. In 2017 SPOTT expanded to assess timber and pulp companies and in 2019 will start assessing natural rubber producers and processors.</w:t>
      </w:r>
    </w:p>
    <w:p w14:paraId="0F8965ED" w14:textId="35C6C3AC" w:rsidR="00DD3212" w:rsidRDefault="013D9F31" w:rsidP="013D9F31">
      <w:pPr>
        <w:spacing w:after="120"/>
        <w:jc w:val="both"/>
      </w:pPr>
      <w:r w:rsidRPr="013D9F31">
        <w:t xml:space="preserve">The foundation of </w:t>
      </w:r>
      <w:hyperlink r:id="rId8">
        <w:r w:rsidRPr="013D9F31">
          <w:rPr>
            <w:rStyle w:val="Hyperlink"/>
          </w:rPr>
          <w:t>SPOTT</w:t>
        </w:r>
      </w:hyperlink>
      <w:r w:rsidRPr="013D9F31">
        <w:t xml:space="preserve"> assessments is the indicator framework used to assess company disclosures, policies, commitments, and evidence of progress reported publicly by commodity producers, processors and traders. </w:t>
      </w:r>
    </w:p>
    <w:p w14:paraId="4D6CF349" w14:textId="3C9B83B3" w:rsidR="004F326B" w:rsidRDefault="004F326B" w:rsidP="013D9F31">
      <w:pPr>
        <w:spacing w:after="120"/>
        <w:jc w:val="both"/>
      </w:pPr>
      <w:r w:rsidRPr="013D9F31">
        <w:t xml:space="preserve">To perform effectively </w:t>
      </w:r>
      <w:r w:rsidR="007E2957" w:rsidRPr="013D9F31">
        <w:t>the</w:t>
      </w:r>
      <w:r w:rsidRPr="013D9F31">
        <w:t xml:space="preserve"> </w:t>
      </w:r>
      <w:r w:rsidR="00AB6592" w:rsidRPr="013D9F31">
        <w:t xml:space="preserve">SPOTT </w:t>
      </w:r>
      <w:r w:rsidRPr="013D9F31">
        <w:t xml:space="preserve">indicator framework must cover key environmental, social and governance </w:t>
      </w:r>
      <w:r w:rsidR="00060BE5" w:rsidRPr="013D9F31">
        <w:t xml:space="preserve">(ESG) </w:t>
      </w:r>
      <w:r w:rsidRPr="013D9F31">
        <w:t xml:space="preserve">issues associated with the </w:t>
      </w:r>
      <w:r w:rsidR="00086D92" w:rsidRPr="013D9F31">
        <w:t>natural rubber</w:t>
      </w:r>
      <w:r w:rsidRPr="013D9F31">
        <w:t xml:space="preserve"> sector; be applicable across a range of </w:t>
      </w:r>
      <w:r w:rsidR="00086D92" w:rsidRPr="013D9F31">
        <w:t>country</w:t>
      </w:r>
      <w:r w:rsidRPr="013D9F31">
        <w:t xml:space="preserve"> contexts; and meet the needs of SPOTT’s principal user groups.</w:t>
      </w:r>
      <w:r w:rsidRPr="013D9F31">
        <w:rPr>
          <w:rStyle w:val="FootnoteReference"/>
        </w:rPr>
        <w:footnoteReference w:id="1"/>
      </w:r>
    </w:p>
    <w:p w14:paraId="67BE0405" w14:textId="2DA4E54E" w:rsidR="0062605A" w:rsidRDefault="013D9F31" w:rsidP="0062605A">
      <w:pPr>
        <w:spacing w:after="120"/>
        <w:jc w:val="both"/>
      </w:pPr>
      <w:r>
        <w:t xml:space="preserve">ZSL developed the SPOTT natural rubber indicator framework based on the existing palm oil and timber and pulp frameworks. These frameworks were developed following extensive consultation with stakeholders including </w:t>
      </w:r>
      <w:hyperlink r:id="rId9">
        <w:r w:rsidRPr="013D9F31">
          <w:rPr>
            <w:rStyle w:val="Hyperlink"/>
          </w:rPr>
          <w:t>Technical Advisory Groups</w:t>
        </w:r>
      </w:hyperlink>
      <w:r>
        <w:t xml:space="preserve">, producers, trade bodies, finance and buying company representatives, NGOs, and other industry experts. The </w:t>
      </w:r>
      <w:r w:rsidRPr="013D9F31">
        <w:t xml:space="preserve">SPOTT indicator framework also reflects and complements the expectations set out in other frameworks and guidelines for sustainable production, such as FSC, GPSNR, CCCMC, GRI and UNGC. </w:t>
      </w:r>
    </w:p>
    <w:p w14:paraId="3CC57BB9" w14:textId="11E237FD" w:rsidR="0062605A" w:rsidRPr="00502EDA" w:rsidRDefault="0062605A" w:rsidP="0062605A">
      <w:pPr>
        <w:spacing w:after="120"/>
        <w:rPr>
          <w:rFonts w:cstheme="minorHAnsi"/>
        </w:rPr>
      </w:pPr>
      <w:r w:rsidRPr="007E2957">
        <w:rPr>
          <w:rFonts w:cstheme="minorHAnsi"/>
        </w:rPr>
        <w:t xml:space="preserve">Companies do not report directly to ZSL to inform their SPOTT assessments. Rather, ZSL conducts a thorough review of publicly available reports and publications before contacting the companies </w:t>
      </w:r>
      <w:r w:rsidR="00AC5BD3">
        <w:rPr>
          <w:rFonts w:cstheme="minorHAnsi"/>
        </w:rPr>
        <w:t>to comment on</w:t>
      </w:r>
      <w:r w:rsidRPr="007E2957">
        <w:rPr>
          <w:rFonts w:cstheme="minorHAnsi"/>
        </w:rPr>
        <w:t xml:space="preserve"> their draft assessments</w:t>
      </w:r>
      <w:r>
        <w:rPr>
          <w:rFonts w:cstheme="minorHAnsi"/>
        </w:rPr>
        <w:t>. The indicator</w:t>
      </w:r>
      <w:r w:rsidR="00D27E9D">
        <w:rPr>
          <w:rFonts w:cstheme="minorHAnsi"/>
        </w:rPr>
        <w:t xml:space="preserve"> framework </w:t>
      </w:r>
      <w:r w:rsidRPr="00502EDA">
        <w:rPr>
          <w:rFonts w:cstheme="minorHAnsi"/>
        </w:rPr>
        <w:t>guide</w:t>
      </w:r>
      <w:r w:rsidR="00D27E9D">
        <w:rPr>
          <w:rFonts w:cstheme="minorHAnsi"/>
        </w:rPr>
        <w:t>s</w:t>
      </w:r>
      <w:r w:rsidRPr="00502EDA">
        <w:rPr>
          <w:rFonts w:cstheme="minorHAnsi"/>
        </w:rPr>
        <w:t xml:space="preserve"> </w:t>
      </w:r>
      <w:r>
        <w:rPr>
          <w:rFonts w:cstheme="minorHAnsi"/>
        </w:rPr>
        <w:t>the SPOTT team</w:t>
      </w:r>
      <w:r w:rsidRPr="00502EDA">
        <w:rPr>
          <w:rFonts w:cstheme="minorHAnsi"/>
        </w:rPr>
        <w:t xml:space="preserve"> when undertaking assessments</w:t>
      </w:r>
      <w:r w:rsidR="00DD3212">
        <w:rPr>
          <w:rFonts w:cstheme="minorHAnsi"/>
        </w:rPr>
        <w:t xml:space="preserve"> of company transparency</w:t>
      </w:r>
      <w:r w:rsidRPr="002F4CD0">
        <w:rPr>
          <w:rFonts w:cstheme="minorHAnsi"/>
        </w:rPr>
        <w:t>.</w:t>
      </w:r>
      <w:r w:rsidRPr="00502EDA">
        <w:rPr>
          <w:rFonts w:cstheme="minorHAnsi"/>
        </w:rPr>
        <w:t xml:space="preserve"> The purpose of </w:t>
      </w:r>
      <w:r>
        <w:rPr>
          <w:rFonts w:cstheme="minorHAnsi"/>
        </w:rPr>
        <w:t>the indicator</w:t>
      </w:r>
      <w:r w:rsidR="00D27E9D">
        <w:rPr>
          <w:rFonts w:cstheme="minorHAnsi"/>
        </w:rPr>
        <w:t xml:space="preserve"> framework </w:t>
      </w:r>
      <w:r w:rsidRPr="00502EDA">
        <w:rPr>
          <w:rFonts w:cstheme="minorHAnsi"/>
        </w:rPr>
        <w:t xml:space="preserve">is two-fold: </w:t>
      </w:r>
    </w:p>
    <w:p w14:paraId="7F282EF0" w14:textId="4D013015" w:rsidR="0062605A" w:rsidRPr="004F326B" w:rsidRDefault="0062605A" w:rsidP="007C68C0">
      <w:pPr>
        <w:pStyle w:val="ListParagraph"/>
        <w:numPr>
          <w:ilvl w:val="0"/>
          <w:numId w:val="3"/>
        </w:numPr>
        <w:spacing w:before="120" w:after="120" w:line="360" w:lineRule="auto"/>
        <w:rPr>
          <w:rFonts w:cstheme="minorHAnsi"/>
        </w:rPr>
      </w:pPr>
      <w:r w:rsidRPr="004F326B">
        <w:rPr>
          <w:rFonts w:cstheme="minorHAnsi"/>
        </w:rPr>
        <w:t>To ensure a fair</w:t>
      </w:r>
      <w:r w:rsidR="00501B80">
        <w:rPr>
          <w:rFonts w:cstheme="minorHAnsi"/>
        </w:rPr>
        <w:t>,</w:t>
      </w:r>
      <w:r w:rsidRPr="004F326B">
        <w:rPr>
          <w:rFonts w:cstheme="minorHAnsi"/>
        </w:rPr>
        <w:t xml:space="preserve"> consistent</w:t>
      </w:r>
      <w:r w:rsidR="009333A7">
        <w:rPr>
          <w:rFonts w:cstheme="minorHAnsi"/>
        </w:rPr>
        <w:t xml:space="preserve"> and transparent</w:t>
      </w:r>
      <w:r w:rsidRPr="004F326B">
        <w:rPr>
          <w:rFonts w:cstheme="minorHAnsi"/>
        </w:rPr>
        <w:t xml:space="preserve"> approach to assessing all companies on SPOTT</w:t>
      </w:r>
    </w:p>
    <w:p w14:paraId="439D9902" w14:textId="201007AF" w:rsidR="0062605A" w:rsidRDefault="013D9F31" w:rsidP="013D9F31">
      <w:pPr>
        <w:pStyle w:val="ListParagraph"/>
        <w:numPr>
          <w:ilvl w:val="0"/>
          <w:numId w:val="3"/>
        </w:numPr>
        <w:spacing w:after="20" w:line="360" w:lineRule="auto"/>
      </w:pPr>
      <w:r w:rsidRPr="013D9F31">
        <w:t>To provide guidance on what environmental, social and governance data companies should publish.</w:t>
      </w:r>
    </w:p>
    <w:p w14:paraId="7B619FA3" w14:textId="62EE9ECC" w:rsidR="0095651C" w:rsidRPr="0095651C" w:rsidRDefault="013D9F31" w:rsidP="0095651C">
      <w:pPr>
        <w:spacing w:after="240"/>
        <w:jc w:val="both"/>
      </w:pPr>
      <w:r w:rsidRPr="013D9F31">
        <w:t xml:space="preserve">The 2019 SPOTT natural rubber indicator framework will be used to </w:t>
      </w:r>
      <w:r>
        <w:t>assess</w:t>
      </w:r>
      <w:r w:rsidRPr="013D9F31">
        <w:t xml:space="preserve"> 15 significant natural rubber producer and processor companies beginning in August. </w:t>
      </w:r>
      <w:r>
        <w:t>We are now consulting on the new indicator framework.</w:t>
      </w:r>
    </w:p>
    <w:p w14:paraId="161ECE32" w14:textId="11F6241C" w:rsidR="0095651C" w:rsidRPr="003846D7" w:rsidRDefault="6C4D5918" w:rsidP="6C4D5918">
      <w:pPr>
        <w:spacing w:after="240"/>
        <w:jc w:val="both"/>
        <w:rPr>
          <w:b/>
          <w:bCs/>
          <w:sz w:val="36"/>
          <w:szCs w:val="36"/>
        </w:rPr>
      </w:pPr>
      <w:r w:rsidRPr="6C4D5918">
        <w:rPr>
          <w:b/>
          <w:bCs/>
          <w:sz w:val="36"/>
          <w:szCs w:val="36"/>
        </w:rPr>
        <w:t>Key changes to the SPOTT methodology in 2019</w:t>
      </w:r>
    </w:p>
    <w:p w14:paraId="13611E4A" w14:textId="5B5088F9" w:rsidR="005C5BFB" w:rsidRDefault="6C4D5918" w:rsidP="013D9F31">
      <w:pPr>
        <w:spacing w:after="240"/>
        <w:jc w:val="both"/>
      </w:pPr>
      <w:r>
        <w:t xml:space="preserve">We recognise that companies are at different stages of their sustainability journey and we want to allow SPOTT users to better understand where companies currently are and how they are progressing. This includes categorising indicators across three categories: 1 - disclosure of operational information (e.g. total landbank, location of mills); 2 - policies and commitments; and 3 - progress against company commitments and displaying company scores across each of these categories. </w:t>
      </w:r>
    </w:p>
    <w:p w14:paraId="1A5A0FAB" w14:textId="71041020" w:rsidR="00FC4BB8" w:rsidRDefault="005C5BFB" w:rsidP="00FC4BB8">
      <w:pPr>
        <w:spacing w:after="240"/>
        <w:jc w:val="both"/>
      </w:pPr>
      <w:r>
        <w:t xml:space="preserve">The revised SPOTT indicator framework </w:t>
      </w:r>
      <w:r w:rsidR="00CD0CCE">
        <w:t xml:space="preserve">also </w:t>
      </w:r>
      <w:r>
        <w:t xml:space="preserve">places much more emphasis on </w:t>
      </w:r>
      <w:r w:rsidR="00CD0CCE">
        <w:t>assessing progress</w:t>
      </w:r>
      <w:r>
        <w:t xml:space="preserve"> against </w:t>
      </w:r>
      <w:r w:rsidR="00CD0CCE">
        <w:t xml:space="preserve">individual </w:t>
      </w:r>
      <w:r w:rsidR="001126E2">
        <w:t>co</w:t>
      </w:r>
      <w:r w:rsidR="00CD0CCE">
        <w:t>mpany</w:t>
      </w:r>
      <w:r>
        <w:t xml:space="preserve"> commitments, differentiating between three lev</w:t>
      </w:r>
      <w:r w:rsidR="001126E2">
        <w:t>els</w:t>
      </w:r>
      <w:r>
        <w:t xml:space="preserve"> of</w:t>
      </w:r>
      <w:r w:rsidR="00CD0CCE">
        <w:t xml:space="preserve"> progress reporting</w:t>
      </w:r>
      <w:r>
        <w:t xml:space="preserve">: self-reported progress, externally </w:t>
      </w:r>
      <w:r>
        <w:lastRenderedPageBreak/>
        <w:t xml:space="preserve">verified progress, and progress verified through certification. </w:t>
      </w:r>
      <w:r w:rsidR="00CD0CCE">
        <w:t xml:space="preserve">Within these new progress indicators, we </w:t>
      </w:r>
      <w:r w:rsidR="00FC4BB8" w:rsidRPr="00856DC9">
        <w:t xml:space="preserve">place higher weight on third-party verified information but still </w:t>
      </w:r>
      <w:r w:rsidR="00FC4BB8">
        <w:t>re</w:t>
      </w:r>
      <w:r w:rsidR="00FC4BB8" w:rsidRPr="00856DC9">
        <w:t>ward companies for self-reported progress</w:t>
      </w:r>
      <w:r w:rsidR="00FC4BB8">
        <w:t>.</w:t>
      </w:r>
    </w:p>
    <w:p w14:paraId="1003CA41" w14:textId="09B66052" w:rsidR="00684655" w:rsidRPr="002B02CE" w:rsidRDefault="00684655" w:rsidP="00FC4BB8">
      <w:pPr>
        <w:spacing w:after="240"/>
        <w:jc w:val="both"/>
        <w:rPr>
          <w:b/>
          <w:sz w:val="36"/>
          <w:szCs w:val="36"/>
        </w:rPr>
      </w:pPr>
      <w:r w:rsidRPr="002B02CE">
        <w:rPr>
          <w:b/>
          <w:sz w:val="36"/>
          <w:szCs w:val="36"/>
        </w:rPr>
        <w:t>Guidance on this consultation</w:t>
      </w:r>
    </w:p>
    <w:p w14:paraId="372DA8DF" w14:textId="3ACE0473" w:rsidR="00DD3212" w:rsidRDefault="013D9F31" w:rsidP="001F6125">
      <w:pPr>
        <w:spacing w:after="240"/>
        <w:jc w:val="both"/>
      </w:pPr>
      <w:r>
        <w:t xml:space="preserve">Consultees are invited to review the 2019 SPOTT natural rubber indicator framework (see </w:t>
      </w:r>
      <w:hyperlink r:id="rId10" w:history="1">
        <w:r w:rsidRPr="00D503DC">
          <w:rPr>
            <w:rStyle w:val="Hyperlink"/>
          </w:rPr>
          <w:t>separate Excel file</w:t>
        </w:r>
      </w:hyperlink>
      <w:bookmarkStart w:id="0" w:name="_GoBack"/>
      <w:bookmarkEnd w:id="0"/>
      <w:r>
        <w:t xml:space="preserve">) and provide feedback on the </w:t>
      </w:r>
      <w:r w:rsidRPr="013D9F31">
        <w:rPr>
          <w:b/>
          <w:bCs/>
        </w:rPr>
        <w:t>four consultation questions</w:t>
      </w:r>
      <w:r>
        <w:t xml:space="preserve"> set out in the below table. The Excel version of the indicator framework also provides space for consultees to provide </w:t>
      </w:r>
      <w:r w:rsidRPr="013D9F31">
        <w:rPr>
          <w:b/>
          <w:bCs/>
        </w:rPr>
        <w:t>feedback on specific indicators</w:t>
      </w:r>
      <w:r>
        <w:t xml:space="preserve">. </w:t>
      </w:r>
    </w:p>
    <w:p w14:paraId="727665AA" w14:textId="43271289" w:rsidR="00D503DC" w:rsidRDefault="001A5041" w:rsidP="001F6125">
      <w:pPr>
        <w:spacing w:after="240"/>
        <w:jc w:val="both"/>
      </w:pPr>
      <w:r>
        <w:t>We would</w:t>
      </w:r>
      <w:r w:rsidR="00C71B24">
        <w:t xml:space="preserve"> also</w:t>
      </w:r>
      <w:r>
        <w:t xml:space="preserve"> be very happy to hold 1-1 calls </w:t>
      </w:r>
      <w:r w:rsidR="00E12A62">
        <w:t xml:space="preserve">to receive </w:t>
      </w:r>
      <w:r w:rsidR="00DD3212">
        <w:t>feedback</w:t>
      </w:r>
      <w:r>
        <w:t>.</w:t>
      </w:r>
    </w:p>
    <w:p w14:paraId="38212CF7" w14:textId="77777777" w:rsidR="006533DC" w:rsidRDefault="6C4D5918">
      <w:r>
        <w:t xml:space="preserve">Information provided will support final revisions to the 2019 SPOTT natural rubber indicator framework. The deadline for providing feedback is </w:t>
      </w:r>
      <w:r w:rsidRPr="6C4D5918">
        <w:rPr>
          <w:b/>
          <w:bCs/>
        </w:rPr>
        <w:t>Friday 12</w:t>
      </w:r>
      <w:r w:rsidRPr="6C4D5918">
        <w:rPr>
          <w:b/>
          <w:bCs/>
          <w:vertAlign w:val="superscript"/>
        </w:rPr>
        <w:t>th</w:t>
      </w:r>
      <w:r w:rsidRPr="6C4D5918">
        <w:rPr>
          <w:b/>
          <w:bCs/>
        </w:rPr>
        <w:t xml:space="preserve"> July</w:t>
      </w:r>
      <w:r>
        <w:t>, with the next round of assessments beginning in August.</w:t>
      </w:r>
    </w:p>
    <w:p w14:paraId="6E279A39" w14:textId="06CA97E1" w:rsidR="00FC4BB8" w:rsidRPr="00FC4BB8" w:rsidRDefault="013D9F31" w:rsidP="00F165A8">
      <w:r>
        <w:t xml:space="preserve">Results of the inaugural SPOTT natural rubber assessments will be published in November 2019. </w:t>
      </w:r>
    </w:p>
    <w:p w14:paraId="18AEB9CC" w14:textId="6B8FCA52" w:rsidR="00B81633" w:rsidRPr="00E636A1" w:rsidRDefault="00B81633" w:rsidP="00F165A8">
      <w:pPr>
        <w:rPr>
          <w:b/>
          <w:sz w:val="36"/>
          <w:szCs w:val="36"/>
        </w:rPr>
      </w:pPr>
      <w:r w:rsidRPr="00E636A1">
        <w:rPr>
          <w:b/>
          <w:sz w:val="36"/>
          <w:szCs w:val="36"/>
        </w:rPr>
        <w:t xml:space="preserve"> Consultation questions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46"/>
      </w:tblGrid>
      <w:tr w:rsidR="001E1A47" w14:paraId="51418B99" w14:textId="77777777" w:rsidTr="013D9F31">
        <w:tc>
          <w:tcPr>
            <w:tcW w:w="10446" w:type="dxa"/>
            <w:tcBorders>
              <w:top w:val="single" w:sz="8" w:space="0" w:color="auto"/>
              <w:left w:val="single" w:sz="8" w:space="0" w:color="auto"/>
              <w:bottom w:val="single" w:sz="8" w:space="0" w:color="auto"/>
              <w:right w:val="single" w:sz="8" w:space="0" w:color="auto"/>
            </w:tcBorders>
            <w:shd w:val="clear" w:color="auto" w:fill="000000" w:themeFill="text1"/>
          </w:tcPr>
          <w:p w14:paraId="021A97E3" w14:textId="0212462D" w:rsidR="001E1A47" w:rsidRPr="00FA0E29" w:rsidRDefault="013D9F31" w:rsidP="013D9F31">
            <w:pPr>
              <w:pStyle w:val="ListParagraph"/>
              <w:numPr>
                <w:ilvl w:val="0"/>
                <w:numId w:val="2"/>
              </w:numPr>
              <w:spacing w:before="60" w:after="60"/>
              <w:jc w:val="both"/>
              <w:rPr>
                <w:b/>
                <w:bCs/>
                <w:color w:val="FFFFFF" w:themeColor="background1"/>
              </w:rPr>
            </w:pPr>
            <w:r w:rsidRPr="013D9F31">
              <w:rPr>
                <w:b/>
                <w:bCs/>
                <w:color w:val="FFFFFF" w:themeColor="background1"/>
              </w:rPr>
              <w:t>Are there any key environmental, social, or governance issues missing from the indicator framework?</w:t>
            </w:r>
          </w:p>
        </w:tc>
      </w:tr>
      <w:tr w:rsidR="001E1A47" w14:paraId="502026BB" w14:textId="77777777" w:rsidTr="013D9F31">
        <w:tc>
          <w:tcPr>
            <w:tcW w:w="10446" w:type="dxa"/>
            <w:tcBorders>
              <w:top w:val="single" w:sz="8" w:space="0" w:color="auto"/>
              <w:left w:val="single" w:sz="8" w:space="0" w:color="auto"/>
              <w:bottom w:val="single" w:sz="8" w:space="0" w:color="auto"/>
              <w:right w:val="single" w:sz="8" w:space="0" w:color="auto"/>
            </w:tcBorders>
          </w:tcPr>
          <w:p w14:paraId="29465324" w14:textId="77777777" w:rsidR="00FA0E29" w:rsidRDefault="00FA0E29" w:rsidP="004F326B">
            <w:pPr>
              <w:spacing w:before="60" w:after="60"/>
              <w:jc w:val="both"/>
            </w:pPr>
          </w:p>
          <w:p w14:paraId="249AAB96" w14:textId="4CE3CC2B" w:rsidR="013D9F31" w:rsidRDefault="013D9F31" w:rsidP="013D9F31">
            <w:pPr>
              <w:spacing w:before="60" w:after="60"/>
              <w:jc w:val="both"/>
            </w:pPr>
          </w:p>
          <w:p w14:paraId="3ECF1239" w14:textId="58C9C369" w:rsidR="013D9F31" w:rsidRDefault="013D9F31" w:rsidP="013D9F31">
            <w:pPr>
              <w:spacing w:before="60" w:after="60"/>
              <w:jc w:val="both"/>
            </w:pPr>
          </w:p>
          <w:p w14:paraId="2BA766D1" w14:textId="121ACD65" w:rsidR="00EF2D47" w:rsidRDefault="00EF2D47" w:rsidP="004F326B">
            <w:pPr>
              <w:spacing w:before="60" w:after="60"/>
              <w:jc w:val="both"/>
            </w:pPr>
          </w:p>
        </w:tc>
      </w:tr>
      <w:tr w:rsidR="00B81633" w14:paraId="0481E804" w14:textId="77777777" w:rsidTr="013D9F31">
        <w:trPr>
          <w:trHeight w:val="217"/>
        </w:trPr>
        <w:tc>
          <w:tcPr>
            <w:tcW w:w="10446" w:type="dxa"/>
            <w:tcBorders>
              <w:top w:val="single" w:sz="8" w:space="0" w:color="auto"/>
              <w:left w:val="single" w:sz="8" w:space="0" w:color="auto"/>
              <w:bottom w:val="single" w:sz="8" w:space="0" w:color="auto"/>
              <w:right w:val="single" w:sz="8" w:space="0" w:color="auto"/>
            </w:tcBorders>
            <w:shd w:val="clear" w:color="auto" w:fill="000000" w:themeFill="text1"/>
          </w:tcPr>
          <w:p w14:paraId="00382220" w14:textId="10B7A0B7" w:rsidR="00B81633" w:rsidRPr="003846D7" w:rsidRDefault="013D9F31" w:rsidP="013D9F31">
            <w:pPr>
              <w:pStyle w:val="ListParagraph"/>
              <w:numPr>
                <w:ilvl w:val="0"/>
                <w:numId w:val="2"/>
              </w:numPr>
              <w:spacing w:before="60" w:after="60"/>
              <w:jc w:val="both"/>
              <w:rPr>
                <w:b/>
                <w:bCs/>
                <w:color w:val="FFFFFF" w:themeColor="background1"/>
              </w:rPr>
            </w:pPr>
            <w:r w:rsidRPr="013D9F31">
              <w:rPr>
                <w:b/>
                <w:bCs/>
                <w:color w:val="FFFFFF" w:themeColor="background1"/>
              </w:rPr>
              <w:t>Does the new approach to assessing progress provide an accurate measure of how companies are progressing against their commitments? If not, how would you improve the approach?</w:t>
            </w:r>
          </w:p>
        </w:tc>
      </w:tr>
      <w:tr w:rsidR="00B81633" w14:paraId="193A7EA6" w14:textId="77777777" w:rsidTr="013D9F31">
        <w:trPr>
          <w:trHeight w:val="474"/>
        </w:trPr>
        <w:tc>
          <w:tcPr>
            <w:tcW w:w="10446" w:type="dxa"/>
            <w:tcBorders>
              <w:top w:val="single" w:sz="8" w:space="0" w:color="auto"/>
              <w:left w:val="single" w:sz="8" w:space="0" w:color="auto"/>
              <w:bottom w:val="single" w:sz="8" w:space="0" w:color="auto"/>
              <w:right w:val="single" w:sz="8" w:space="0" w:color="auto"/>
            </w:tcBorders>
            <w:shd w:val="clear" w:color="auto" w:fill="FFFFFF" w:themeFill="background1"/>
          </w:tcPr>
          <w:p w14:paraId="7346029B" w14:textId="77777777" w:rsidR="00B81633" w:rsidRDefault="00B81633" w:rsidP="004F326B">
            <w:pPr>
              <w:spacing w:before="60" w:after="60"/>
              <w:jc w:val="both"/>
            </w:pPr>
          </w:p>
          <w:p w14:paraId="3C14168E" w14:textId="084DEAA7" w:rsidR="00EF2D47" w:rsidRDefault="00EF2D47" w:rsidP="004F326B">
            <w:pPr>
              <w:spacing w:before="60" w:after="60"/>
              <w:jc w:val="both"/>
            </w:pPr>
          </w:p>
          <w:p w14:paraId="153F1B23" w14:textId="47444904" w:rsidR="00EF2D47" w:rsidRDefault="00EF2D47" w:rsidP="013D9F31">
            <w:pPr>
              <w:spacing w:before="60" w:after="60"/>
              <w:jc w:val="both"/>
            </w:pPr>
          </w:p>
          <w:p w14:paraId="723292E6" w14:textId="37992FD4" w:rsidR="00EF2D47" w:rsidRDefault="00EF2D47" w:rsidP="013D9F31">
            <w:pPr>
              <w:spacing w:before="60" w:after="60"/>
              <w:jc w:val="both"/>
            </w:pPr>
          </w:p>
        </w:tc>
      </w:tr>
      <w:tr w:rsidR="003846D7" w14:paraId="11A3C402" w14:textId="77777777" w:rsidTr="013D9F31">
        <w:trPr>
          <w:trHeight w:val="474"/>
        </w:trPr>
        <w:tc>
          <w:tcPr>
            <w:tcW w:w="10446" w:type="dxa"/>
            <w:tcBorders>
              <w:top w:val="single" w:sz="8" w:space="0" w:color="auto"/>
              <w:left w:val="single" w:sz="8" w:space="0" w:color="auto"/>
              <w:bottom w:val="single" w:sz="8" w:space="0" w:color="auto"/>
              <w:right w:val="single" w:sz="8" w:space="0" w:color="auto"/>
            </w:tcBorders>
            <w:shd w:val="clear" w:color="auto" w:fill="000000" w:themeFill="text1"/>
          </w:tcPr>
          <w:p w14:paraId="3605A550" w14:textId="5E24887A" w:rsidR="003846D7" w:rsidRDefault="013D9F31" w:rsidP="013D9F31">
            <w:pPr>
              <w:pStyle w:val="ListParagraph"/>
              <w:numPr>
                <w:ilvl w:val="0"/>
                <w:numId w:val="2"/>
              </w:numPr>
              <w:spacing w:before="60" w:after="60"/>
              <w:jc w:val="both"/>
              <w:rPr>
                <w:color w:val="FFFFFF" w:themeColor="background1"/>
              </w:rPr>
            </w:pPr>
            <w:r w:rsidRPr="013D9F31">
              <w:rPr>
                <w:b/>
                <w:bCs/>
                <w:color w:val="FFFFFF" w:themeColor="background1"/>
              </w:rPr>
              <w:t>Do you consider the indicator framework to be realistic? – e.g. on-the-ground realities</w:t>
            </w:r>
          </w:p>
        </w:tc>
      </w:tr>
      <w:tr w:rsidR="003846D7" w14:paraId="5C0D89EE" w14:textId="77777777" w:rsidTr="013D9F31">
        <w:trPr>
          <w:trHeight w:val="474"/>
        </w:trPr>
        <w:tc>
          <w:tcPr>
            <w:tcW w:w="10446" w:type="dxa"/>
            <w:tcBorders>
              <w:top w:val="single" w:sz="8" w:space="0" w:color="auto"/>
              <w:left w:val="single" w:sz="8" w:space="0" w:color="auto"/>
              <w:bottom w:val="single" w:sz="8" w:space="0" w:color="auto"/>
              <w:right w:val="single" w:sz="8" w:space="0" w:color="auto"/>
            </w:tcBorders>
            <w:shd w:val="clear" w:color="auto" w:fill="FFFFFF" w:themeFill="background1"/>
          </w:tcPr>
          <w:p w14:paraId="0A187CCA" w14:textId="77777777" w:rsidR="003846D7" w:rsidRDefault="003846D7" w:rsidP="013D9F31">
            <w:pPr>
              <w:spacing w:before="60" w:after="60"/>
              <w:jc w:val="both"/>
              <w:rPr>
                <w:color w:val="FFFFFF" w:themeColor="background1"/>
              </w:rPr>
            </w:pPr>
          </w:p>
          <w:p w14:paraId="16512028" w14:textId="50C89A9A" w:rsidR="013D9F31" w:rsidRDefault="013D9F31" w:rsidP="013D9F31">
            <w:pPr>
              <w:spacing w:before="60" w:after="60"/>
              <w:jc w:val="both"/>
              <w:rPr>
                <w:color w:val="FFFFFF" w:themeColor="background1"/>
              </w:rPr>
            </w:pPr>
          </w:p>
          <w:p w14:paraId="6877F5B9" w14:textId="77777777" w:rsidR="003846D7" w:rsidRDefault="003846D7" w:rsidP="013D9F31">
            <w:pPr>
              <w:spacing w:before="60" w:after="60"/>
              <w:jc w:val="both"/>
              <w:rPr>
                <w:color w:val="FFFFFF" w:themeColor="background1"/>
              </w:rPr>
            </w:pPr>
          </w:p>
          <w:p w14:paraId="52A34150" w14:textId="77777777" w:rsidR="003846D7" w:rsidRDefault="003846D7" w:rsidP="013D9F31">
            <w:pPr>
              <w:spacing w:before="60" w:after="60"/>
              <w:jc w:val="both"/>
              <w:rPr>
                <w:color w:val="FFFFFF" w:themeColor="background1"/>
              </w:rPr>
            </w:pPr>
          </w:p>
        </w:tc>
      </w:tr>
      <w:tr w:rsidR="003846D7" w14:paraId="0C4A2C72" w14:textId="77777777" w:rsidTr="013D9F31">
        <w:trPr>
          <w:trHeight w:val="474"/>
        </w:trPr>
        <w:tc>
          <w:tcPr>
            <w:tcW w:w="10446" w:type="dxa"/>
            <w:tcBorders>
              <w:top w:val="single" w:sz="8" w:space="0" w:color="auto"/>
              <w:left w:val="single" w:sz="8" w:space="0" w:color="auto"/>
              <w:bottom w:val="single" w:sz="8" w:space="0" w:color="auto"/>
              <w:right w:val="single" w:sz="8" w:space="0" w:color="auto"/>
            </w:tcBorders>
            <w:shd w:val="clear" w:color="auto" w:fill="000000" w:themeFill="text1"/>
          </w:tcPr>
          <w:p w14:paraId="5C9647B7" w14:textId="00E989F8" w:rsidR="003846D7" w:rsidRDefault="013D9F31" w:rsidP="013D9F31">
            <w:pPr>
              <w:pStyle w:val="ListParagraph"/>
              <w:numPr>
                <w:ilvl w:val="0"/>
                <w:numId w:val="2"/>
              </w:numPr>
              <w:spacing w:before="60" w:after="60"/>
              <w:jc w:val="both"/>
              <w:rPr>
                <w:color w:val="FFFFFF" w:themeColor="background1"/>
              </w:rPr>
            </w:pPr>
            <w:r w:rsidRPr="013D9F31">
              <w:rPr>
                <w:b/>
                <w:bCs/>
                <w:color w:val="FFFFFF" w:themeColor="background1"/>
              </w:rPr>
              <w:t>Would you like to make any further suggestions regarding the SPOTT indicator framework?</w:t>
            </w:r>
          </w:p>
        </w:tc>
      </w:tr>
      <w:tr w:rsidR="003846D7" w14:paraId="39A70B9B" w14:textId="77777777" w:rsidTr="013D9F31">
        <w:trPr>
          <w:trHeight w:val="474"/>
        </w:trPr>
        <w:tc>
          <w:tcPr>
            <w:tcW w:w="10446" w:type="dxa"/>
            <w:tcBorders>
              <w:top w:val="single" w:sz="8" w:space="0" w:color="auto"/>
              <w:left w:val="single" w:sz="8" w:space="0" w:color="auto"/>
              <w:bottom w:val="single" w:sz="8" w:space="0" w:color="auto"/>
              <w:right w:val="single" w:sz="8" w:space="0" w:color="auto"/>
            </w:tcBorders>
            <w:shd w:val="clear" w:color="auto" w:fill="FFFFFF" w:themeFill="background1"/>
          </w:tcPr>
          <w:p w14:paraId="18CB4AC3" w14:textId="77777777" w:rsidR="003846D7" w:rsidRDefault="003846D7" w:rsidP="003846D7">
            <w:pPr>
              <w:spacing w:before="60" w:after="60"/>
              <w:jc w:val="both"/>
            </w:pPr>
          </w:p>
          <w:p w14:paraId="78582B8A" w14:textId="77777777" w:rsidR="003846D7" w:rsidRDefault="003846D7" w:rsidP="003846D7">
            <w:pPr>
              <w:spacing w:before="60" w:after="60"/>
              <w:jc w:val="both"/>
            </w:pPr>
          </w:p>
          <w:p w14:paraId="5722AC3C" w14:textId="2275EBBD" w:rsidR="013D9F31" w:rsidRDefault="013D9F31" w:rsidP="013D9F31">
            <w:pPr>
              <w:spacing w:before="60" w:after="60"/>
              <w:jc w:val="both"/>
            </w:pPr>
          </w:p>
          <w:p w14:paraId="20856CAE" w14:textId="49FFE099" w:rsidR="003846D7" w:rsidRDefault="003846D7" w:rsidP="003846D7">
            <w:pPr>
              <w:spacing w:before="60" w:after="60"/>
              <w:jc w:val="both"/>
            </w:pPr>
          </w:p>
        </w:tc>
      </w:tr>
    </w:tbl>
    <w:p w14:paraId="01C3B655" w14:textId="770E52BA" w:rsidR="008350C0" w:rsidRDefault="008350C0" w:rsidP="003B40C0">
      <w:pPr>
        <w:spacing w:after="120"/>
        <w:rPr>
          <w:rFonts w:cstheme="minorHAnsi"/>
        </w:rPr>
      </w:pPr>
    </w:p>
    <w:sectPr w:rsidR="008350C0" w:rsidSect="00C1669A">
      <w:head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799B7" w14:textId="77777777" w:rsidR="00023570" w:rsidRDefault="00023570" w:rsidP="00AF4E37">
      <w:pPr>
        <w:spacing w:after="0" w:line="240" w:lineRule="auto"/>
      </w:pPr>
      <w:r>
        <w:separator/>
      </w:r>
    </w:p>
  </w:endnote>
  <w:endnote w:type="continuationSeparator" w:id="0">
    <w:p w14:paraId="15FA3EA3" w14:textId="77777777" w:rsidR="00023570" w:rsidRDefault="00023570" w:rsidP="00AF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7CE35" w14:textId="77777777" w:rsidR="00023570" w:rsidRDefault="00023570" w:rsidP="00AF4E37">
      <w:pPr>
        <w:spacing w:after="0" w:line="240" w:lineRule="auto"/>
      </w:pPr>
      <w:r>
        <w:separator/>
      </w:r>
    </w:p>
  </w:footnote>
  <w:footnote w:type="continuationSeparator" w:id="0">
    <w:p w14:paraId="7CB62AB1" w14:textId="77777777" w:rsidR="00023570" w:rsidRDefault="00023570" w:rsidP="00AF4E37">
      <w:pPr>
        <w:spacing w:after="0" w:line="240" w:lineRule="auto"/>
      </w:pPr>
      <w:r>
        <w:continuationSeparator/>
      </w:r>
    </w:p>
  </w:footnote>
  <w:footnote w:id="1">
    <w:p w14:paraId="7DAD8D2A" w14:textId="7E077496" w:rsidR="004D7B25" w:rsidRDefault="004D7B25">
      <w:pPr>
        <w:pStyle w:val="FootnoteText"/>
      </w:pPr>
      <w:r>
        <w:rPr>
          <w:rStyle w:val="FootnoteReference"/>
        </w:rPr>
        <w:footnoteRef/>
      </w:r>
      <w:r>
        <w:t xml:space="preserve"> </w:t>
      </w:r>
      <w:r w:rsidRPr="004F326B">
        <w:t xml:space="preserve">SPOTT’s key users are the financial sector (institutional investors, </w:t>
      </w:r>
      <w:r w:rsidR="00AC5BD3">
        <w:t xml:space="preserve">asset managers, </w:t>
      </w:r>
      <w:r w:rsidRPr="004F326B">
        <w:t>banks)</w:t>
      </w:r>
      <w:r w:rsidR="00AC5BD3">
        <w:t xml:space="preserve">, buying companies, </w:t>
      </w:r>
      <w:r w:rsidRPr="004F326B">
        <w:t>NGOs</w:t>
      </w:r>
      <w:r w:rsidR="00AC5BD3">
        <w:t xml:space="preserve">, and other wider stakeholders interested in improving environmental and social best practices in the palm oil, timber and </w:t>
      </w:r>
      <w:r w:rsidR="006533DC">
        <w:t xml:space="preserve">pulp, and </w:t>
      </w:r>
      <w:r w:rsidR="00AC5BD3">
        <w:t>natural rubber sectors</w:t>
      </w:r>
      <w:r w:rsidRPr="004F326B">
        <w:t>. The information generated by SPOTT is also used by companies to improve their policies and disclosures.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092B" w14:textId="7215B4B6" w:rsidR="00C1669A" w:rsidRDefault="00C1669A">
    <w:pPr>
      <w:pStyle w:val="Header"/>
    </w:pPr>
    <w:r>
      <w:rPr>
        <w:noProof/>
      </w:rPr>
      <w:drawing>
        <wp:inline distT="0" distB="0" distL="0" distR="0" wp14:anchorId="4FE58F8C" wp14:editId="0161A8E9">
          <wp:extent cx="2220774" cy="619125"/>
          <wp:effectExtent l="0" t="0" r="0" b="0"/>
          <wp:docPr id="11" name="Picture 11" descr="https://www.zsl.org/sites/default/files/styles/wysiwyg/public/media/2018-01/SPOTT_Logo_GeckoGreen_Compressed.png?itok=L2ojqE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zsl.org/sites/default/files/styles/wysiwyg/public/media/2018-01/SPOTT_Logo_GeckoGreen_Compressed.png?itok=L2ojqED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431" cy="622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788F" w14:textId="3022D132" w:rsidR="004D7B25" w:rsidRDefault="003B40C0">
    <w:pPr>
      <w:pStyle w:val="Header"/>
    </w:pPr>
    <w:r>
      <w:rPr>
        <w:noProof/>
      </w:rPr>
      <w:drawing>
        <wp:inline distT="0" distB="0" distL="0" distR="0" wp14:anchorId="3744679A" wp14:editId="6451FCE5">
          <wp:extent cx="2038350" cy="568267"/>
          <wp:effectExtent l="0" t="0" r="0" b="0"/>
          <wp:docPr id="2" name="Picture 2" descr="https://www.zsl.org/sites/default/files/styles/wysiwyg/public/media/2018-01/SPOTT_Logo_GeckoGreen_Compressed.png?itok=L2ojqE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sl.org/sites/default/files/styles/wysiwyg/public/media/2018-01/SPOTT_Logo_GeckoGreen_Compressed.png?itok=L2ojqED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852" cy="5773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2097"/>
    <w:multiLevelType w:val="hybridMultilevel"/>
    <w:tmpl w:val="F5E2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611AF"/>
    <w:multiLevelType w:val="hybridMultilevel"/>
    <w:tmpl w:val="FCBAF1B2"/>
    <w:lvl w:ilvl="0" w:tplc="FA9CF834">
      <w:start w:val="1"/>
      <w:numFmt w:val="decimal"/>
      <w:lvlText w:val="%1."/>
      <w:lvlJc w:val="left"/>
      <w:pPr>
        <w:ind w:left="360" w:hanging="360"/>
      </w:pPr>
      <w:rPr>
        <w:rFonts w:hint="default"/>
        <w:b/>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264956"/>
    <w:multiLevelType w:val="hybridMultilevel"/>
    <w:tmpl w:val="891EB2CC"/>
    <w:lvl w:ilvl="0" w:tplc="E1F2C5F4">
      <w:start w:val="1"/>
      <w:numFmt w:val="bullet"/>
      <w:pStyle w:val="CE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D784A"/>
    <w:multiLevelType w:val="hybridMultilevel"/>
    <w:tmpl w:val="2894F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32014F"/>
    <w:multiLevelType w:val="hybridMultilevel"/>
    <w:tmpl w:val="DD54611C"/>
    <w:lvl w:ilvl="0" w:tplc="08090001">
      <w:start w:val="1"/>
      <w:numFmt w:val="bullet"/>
      <w:lvlText w:val=""/>
      <w:lvlJc w:val="left"/>
      <w:pPr>
        <w:ind w:left="360" w:hanging="360"/>
      </w:pPr>
      <w:rPr>
        <w:rFonts w:ascii="Symbol" w:hAnsi="Symbol"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7BF084F"/>
    <w:multiLevelType w:val="hybridMultilevel"/>
    <w:tmpl w:val="BF94366A"/>
    <w:lvl w:ilvl="0" w:tplc="CBA8860E">
      <w:start w:val="1"/>
      <w:numFmt w:val="bullet"/>
      <w:pStyle w:val="CEdash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B70BD"/>
    <w:multiLevelType w:val="hybridMultilevel"/>
    <w:tmpl w:val="87D0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37"/>
    <w:rsid w:val="00002EC7"/>
    <w:rsid w:val="00023570"/>
    <w:rsid w:val="0004729D"/>
    <w:rsid w:val="00056C63"/>
    <w:rsid w:val="00060BE5"/>
    <w:rsid w:val="00067411"/>
    <w:rsid w:val="00086D92"/>
    <w:rsid w:val="00095270"/>
    <w:rsid w:val="001126E2"/>
    <w:rsid w:val="001132A6"/>
    <w:rsid w:val="0011726E"/>
    <w:rsid w:val="00176F69"/>
    <w:rsid w:val="001A5041"/>
    <w:rsid w:val="001B7410"/>
    <w:rsid w:val="001D6AF1"/>
    <w:rsid w:val="001E1A47"/>
    <w:rsid w:val="001F6125"/>
    <w:rsid w:val="00213CC0"/>
    <w:rsid w:val="00226AB3"/>
    <w:rsid w:val="0023416E"/>
    <w:rsid w:val="002A7AF8"/>
    <w:rsid w:val="002B02CE"/>
    <w:rsid w:val="002B5084"/>
    <w:rsid w:val="002E6800"/>
    <w:rsid w:val="002E7394"/>
    <w:rsid w:val="002F4CD0"/>
    <w:rsid w:val="0033273E"/>
    <w:rsid w:val="00365C94"/>
    <w:rsid w:val="003846D7"/>
    <w:rsid w:val="00393741"/>
    <w:rsid w:val="00397583"/>
    <w:rsid w:val="003A5765"/>
    <w:rsid w:val="003B40C0"/>
    <w:rsid w:val="003C66AC"/>
    <w:rsid w:val="003F1619"/>
    <w:rsid w:val="00404A6B"/>
    <w:rsid w:val="00411A27"/>
    <w:rsid w:val="004300BA"/>
    <w:rsid w:val="00485B0F"/>
    <w:rsid w:val="00497E8E"/>
    <w:rsid w:val="004A72D5"/>
    <w:rsid w:val="004D7B25"/>
    <w:rsid w:val="004E3ACD"/>
    <w:rsid w:val="004F326B"/>
    <w:rsid w:val="004F5ECF"/>
    <w:rsid w:val="0050056E"/>
    <w:rsid w:val="00501B80"/>
    <w:rsid w:val="00502EDA"/>
    <w:rsid w:val="005059D9"/>
    <w:rsid w:val="00550099"/>
    <w:rsid w:val="0056630D"/>
    <w:rsid w:val="00576992"/>
    <w:rsid w:val="00577008"/>
    <w:rsid w:val="00592E73"/>
    <w:rsid w:val="005C5BFB"/>
    <w:rsid w:val="005E18C7"/>
    <w:rsid w:val="005E4720"/>
    <w:rsid w:val="005E5583"/>
    <w:rsid w:val="005F3A90"/>
    <w:rsid w:val="00607EAC"/>
    <w:rsid w:val="006116C9"/>
    <w:rsid w:val="00612F5B"/>
    <w:rsid w:val="0062309F"/>
    <w:rsid w:val="00623562"/>
    <w:rsid w:val="0062605A"/>
    <w:rsid w:val="006269AE"/>
    <w:rsid w:val="00627827"/>
    <w:rsid w:val="00630174"/>
    <w:rsid w:val="006515A6"/>
    <w:rsid w:val="006533DC"/>
    <w:rsid w:val="00666AB9"/>
    <w:rsid w:val="00682640"/>
    <w:rsid w:val="00684655"/>
    <w:rsid w:val="006872E0"/>
    <w:rsid w:val="006A268B"/>
    <w:rsid w:val="006B0D4D"/>
    <w:rsid w:val="006B7EE7"/>
    <w:rsid w:val="0075033B"/>
    <w:rsid w:val="00753A6B"/>
    <w:rsid w:val="007628DC"/>
    <w:rsid w:val="00776078"/>
    <w:rsid w:val="00776543"/>
    <w:rsid w:val="0078616D"/>
    <w:rsid w:val="007940D3"/>
    <w:rsid w:val="007B1011"/>
    <w:rsid w:val="007B4496"/>
    <w:rsid w:val="007C68C0"/>
    <w:rsid w:val="007D3EA4"/>
    <w:rsid w:val="007E2957"/>
    <w:rsid w:val="008350C0"/>
    <w:rsid w:val="00850447"/>
    <w:rsid w:val="008528D3"/>
    <w:rsid w:val="00861A9A"/>
    <w:rsid w:val="008B452F"/>
    <w:rsid w:val="008D7ACC"/>
    <w:rsid w:val="009045F9"/>
    <w:rsid w:val="00922FBC"/>
    <w:rsid w:val="00927469"/>
    <w:rsid w:val="009333A7"/>
    <w:rsid w:val="0094447D"/>
    <w:rsid w:val="00944ED5"/>
    <w:rsid w:val="0095651C"/>
    <w:rsid w:val="00970FA8"/>
    <w:rsid w:val="009725EF"/>
    <w:rsid w:val="009B41C2"/>
    <w:rsid w:val="009C06A7"/>
    <w:rsid w:val="009C3187"/>
    <w:rsid w:val="009C5F17"/>
    <w:rsid w:val="00A005A0"/>
    <w:rsid w:val="00A122BB"/>
    <w:rsid w:val="00A30B0C"/>
    <w:rsid w:val="00A346B7"/>
    <w:rsid w:val="00A35148"/>
    <w:rsid w:val="00A41B85"/>
    <w:rsid w:val="00AB1BA2"/>
    <w:rsid w:val="00AB6592"/>
    <w:rsid w:val="00AC5BD3"/>
    <w:rsid w:val="00AE588C"/>
    <w:rsid w:val="00AF4E37"/>
    <w:rsid w:val="00B076D1"/>
    <w:rsid w:val="00B13DB4"/>
    <w:rsid w:val="00B178E4"/>
    <w:rsid w:val="00B23C6A"/>
    <w:rsid w:val="00B273FD"/>
    <w:rsid w:val="00B63ED1"/>
    <w:rsid w:val="00B73999"/>
    <w:rsid w:val="00B75463"/>
    <w:rsid w:val="00B81633"/>
    <w:rsid w:val="00BD0F48"/>
    <w:rsid w:val="00BD394D"/>
    <w:rsid w:val="00BE66C9"/>
    <w:rsid w:val="00C071EB"/>
    <w:rsid w:val="00C077CB"/>
    <w:rsid w:val="00C135F5"/>
    <w:rsid w:val="00C1669A"/>
    <w:rsid w:val="00C1701A"/>
    <w:rsid w:val="00C17EE3"/>
    <w:rsid w:val="00C20631"/>
    <w:rsid w:val="00C42D9C"/>
    <w:rsid w:val="00C71B24"/>
    <w:rsid w:val="00C83EE8"/>
    <w:rsid w:val="00C92D03"/>
    <w:rsid w:val="00C95C95"/>
    <w:rsid w:val="00CA34AC"/>
    <w:rsid w:val="00CA64BF"/>
    <w:rsid w:val="00CB2B35"/>
    <w:rsid w:val="00CB47CA"/>
    <w:rsid w:val="00CD0CCE"/>
    <w:rsid w:val="00D10F3A"/>
    <w:rsid w:val="00D23427"/>
    <w:rsid w:val="00D27E9D"/>
    <w:rsid w:val="00D503DC"/>
    <w:rsid w:val="00D544BB"/>
    <w:rsid w:val="00D66E19"/>
    <w:rsid w:val="00D81B05"/>
    <w:rsid w:val="00D85759"/>
    <w:rsid w:val="00DC7960"/>
    <w:rsid w:val="00DD3212"/>
    <w:rsid w:val="00E12A62"/>
    <w:rsid w:val="00E24A54"/>
    <w:rsid w:val="00E25647"/>
    <w:rsid w:val="00E474F2"/>
    <w:rsid w:val="00E540E5"/>
    <w:rsid w:val="00E54D5F"/>
    <w:rsid w:val="00E636A1"/>
    <w:rsid w:val="00E65BAE"/>
    <w:rsid w:val="00E67DFF"/>
    <w:rsid w:val="00EC5905"/>
    <w:rsid w:val="00EE344E"/>
    <w:rsid w:val="00EF2D47"/>
    <w:rsid w:val="00F124F8"/>
    <w:rsid w:val="00F165A8"/>
    <w:rsid w:val="00F2734C"/>
    <w:rsid w:val="00F60519"/>
    <w:rsid w:val="00F63AE0"/>
    <w:rsid w:val="00F74CE7"/>
    <w:rsid w:val="00FA0E29"/>
    <w:rsid w:val="00FA68B8"/>
    <w:rsid w:val="00FC4BB8"/>
    <w:rsid w:val="00FE0CAC"/>
    <w:rsid w:val="00FE3341"/>
    <w:rsid w:val="00FE713B"/>
    <w:rsid w:val="013D9F31"/>
    <w:rsid w:val="6C4D5918"/>
    <w:rsid w:val="71EA95F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6CCC0"/>
  <w15:docId w15:val="{12C6EB74-AFD0-4B61-AE75-0E1D0FA7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E37"/>
  </w:style>
  <w:style w:type="paragraph" w:styleId="Footer">
    <w:name w:val="footer"/>
    <w:basedOn w:val="Normal"/>
    <w:link w:val="FooterChar"/>
    <w:uiPriority w:val="99"/>
    <w:unhideWhenUsed/>
    <w:rsid w:val="00AF4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E37"/>
  </w:style>
  <w:style w:type="paragraph" w:styleId="BalloonText">
    <w:name w:val="Balloon Text"/>
    <w:basedOn w:val="Normal"/>
    <w:link w:val="BalloonTextChar"/>
    <w:uiPriority w:val="99"/>
    <w:semiHidden/>
    <w:unhideWhenUsed/>
    <w:rsid w:val="00C83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EE8"/>
    <w:rPr>
      <w:rFonts w:ascii="Tahoma" w:hAnsi="Tahoma" w:cs="Tahoma"/>
      <w:sz w:val="16"/>
      <w:szCs w:val="16"/>
    </w:rPr>
  </w:style>
  <w:style w:type="character" w:styleId="Hyperlink">
    <w:name w:val="Hyperlink"/>
    <w:basedOn w:val="DefaultParagraphFont"/>
    <w:uiPriority w:val="99"/>
    <w:unhideWhenUsed/>
    <w:rsid w:val="00D85759"/>
    <w:rPr>
      <w:color w:val="0563C1" w:themeColor="hyperlink"/>
      <w:u w:val="single"/>
    </w:rPr>
  </w:style>
  <w:style w:type="table" w:styleId="TableGrid">
    <w:name w:val="Table Grid"/>
    <w:basedOn w:val="TableNormal"/>
    <w:uiPriority w:val="39"/>
    <w:rsid w:val="00505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text">
    <w:name w:val="CE text"/>
    <w:basedOn w:val="Normal"/>
    <w:qFormat/>
    <w:rsid w:val="005059D9"/>
    <w:pPr>
      <w:spacing w:after="120"/>
      <w:jc w:val="both"/>
    </w:pPr>
  </w:style>
  <w:style w:type="paragraph" w:customStyle="1" w:styleId="CEbullets">
    <w:name w:val="CE bullets"/>
    <w:basedOn w:val="CEtext"/>
    <w:qFormat/>
    <w:rsid w:val="005059D9"/>
    <w:pPr>
      <w:numPr>
        <w:numId w:val="1"/>
      </w:numPr>
      <w:spacing w:after="40"/>
    </w:pPr>
  </w:style>
  <w:style w:type="paragraph" w:styleId="FootnoteText">
    <w:name w:val="footnote text"/>
    <w:basedOn w:val="Normal"/>
    <w:link w:val="FootnoteTextChar"/>
    <w:uiPriority w:val="99"/>
    <w:semiHidden/>
    <w:unhideWhenUsed/>
    <w:rsid w:val="00FA68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8B8"/>
    <w:rPr>
      <w:sz w:val="20"/>
      <w:szCs w:val="20"/>
    </w:rPr>
  </w:style>
  <w:style w:type="character" w:styleId="FootnoteReference">
    <w:name w:val="footnote reference"/>
    <w:basedOn w:val="DefaultParagraphFont"/>
    <w:uiPriority w:val="99"/>
    <w:semiHidden/>
    <w:unhideWhenUsed/>
    <w:rsid w:val="00FA68B8"/>
    <w:rPr>
      <w:vertAlign w:val="superscript"/>
    </w:rPr>
  </w:style>
  <w:style w:type="paragraph" w:styleId="ListParagraph">
    <w:name w:val="List Paragraph"/>
    <w:basedOn w:val="Normal"/>
    <w:uiPriority w:val="34"/>
    <w:qFormat/>
    <w:rsid w:val="001E1A47"/>
    <w:pPr>
      <w:ind w:left="720"/>
      <w:contextualSpacing/>
    </w:pPr>
  </w:style>
  <w:style w:type="paragraph" w:customStyle="1" w:styleId="CEdashbullet">
    <w:name w:val="CE dash bullet"/>
    <w:basedOn w:val="Normal"/>
    <w:rsid w:val="00684655"/>
    <w:pPr>
      <w:numPr>
        <w:numId w:val="5"/>
      </w:numPr>
    </w:pPr>
  </w:style>
  <w:style w:type="character" w:styleId="CommentReference">
    <w:name w:val="annotation reference"/>
    <w:basedOn w:val="DefaultParagraphFont"/>
    <w:uiPriority w:val="99"/>
    <w:semiHidden/>
    <w:unhideWhenUsed/>
    <w:rsid w:val="00A41B85"/>
    <w:rPr>
      <w:sz w:val="16"/>
      <w:szCs w:val="16"/>
    </w:rPr>
  </w:style>
  <w:style w:type="paragraph" w:styleId="CommentText">
    <w:name w:val="annotation text"/>
    <w:basedOn w:val="Normal"/>
    <w:link w:val="CommentTextChar"/>
    <w:uiPriority w:val="99"/>
    <w:semiHidden/>
    <w:unhideWhenUsed/>
    <w:rsid w:val="00A41B85"/>
    <w:pPr>
      <w:spacing w:line="240" w:lineRule="auto"/>
    </w:pPr>
    <w:rPr>
      <w:sz w:val="20"/>
      <w:szCs w:val="20"/>
    </w:rPr>
  </w:style>
  <w:style w:type="character" w:customStyle="1" w:styleId="CommentTextChar">
    <w:name w:val="Comment Text Char"/>
    <w:basedOn w:val="DefaultParagraphFont"/>
    <w:link w:val="CommentText"/>
    <w:uiPriority w:val="99"/>
    <w:semiHidden/>
    <w:rsid w:val="00A41B85"/>
    <w:rPr>
      <w:sz w:val="20"/>
      <w:szCs w:val="20"/>
    </w:rPr>
  </w:style>
  <w:style w:type="paragraph" w:styleId="CommentSubject">
    <w:name w:val="annotation subject"/>
    <w:basedOn w:val="CommentText"/>
    <w:next w:val="CommentText"/>
    <w:link w:val="CommentSubjectChar"/>
    <w:uiPriority w:val="99"/>
    <w:semiHidden/>
    <w:unhideWhenUsed/>
    <w:rsid w:val="00A41B85"/>
    <w:rPr>
      <w:b/>
      <w:bCs/>
    </w:rPr>
  </w:style>
  <w:style w:type="character" w:customStyle="1" w:styleId="CommentSubjectChar">
    <w:name w:val="Comment Subject Char"/>
    <w:basedOn w:val="CommentTextChar"/>
    <w:link w:val="CommentSubject"/>
    <w:uiPriority w:val="99"/>
    <w:semiHidden/>
    <w:rsid w:val="00A41B85"/>
    <w:rPr>
      <w:b/>
      <w:bCs/>
      <w:sz w:val="20"/>
      <w:szCs w:val="20"/>
    </w:rPr>
  </w:style>
  <w:style w:type="character" w:styleId="FollowedHyperlink">
    <w:name w:val="FollowedHyperlink"/>
    <w:basedOn w:val="DefaultParagraphFont"/>
    <w:uiPriority w:val="99"/>
    <w:semiHidden/>
    <w:unhideWhenUsed/>
    <w:rsid w:val="00FE3341"/>
    <w:rPr>
      <w:color w:val="954F72" w:themeColor="followedHyperlink"/>
      <w:u w:val="single"/>
    </w:rPr>
  </w:style>
  <w:style w:type="character" w:styleId="UnresolvedMention">
    <w:name w:val="Unresolved Mention"/>
    <w:basedOn w:val="DefaultParagraphFont"/>
    <w:uiPriority w:val="99"/>
    <w:semiHidden/>
    <w:unhideWhenUsed/>
    <w:rsid w:val="00922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39110">
      <w:bodyDiv w:val="1"/>
      <w:marLeft w:val="0"/>
      <w:marRight w:val="0"/>
      <w:marTop w:val="0"/>
      <w:marBottom w:val="0"/>
      <w:divBdr>
        <w:top w:val="none" w:sz="0" w:space="0" w:color="auto"/>
        <w:left w:val="none" w:sz="0" w:space="0" w:color="auto"/>
        <w:bottom w:val="none" w:sz="0" w:space="0" w:color="auto"/>
        <w:right w:val="none" w:sz="0" w:space="0" w:color="auto"/>
      </w:divBdr>
    </w:div>
    <w:div w:id="1256936420">
      <w:bodyDiv w:val="1"/>
      <w:marLeft w:val="0"/>
      <w:marRight w:val="0"/>
      <w:marTop w:val="0"/>
      <w:marBottom w:val="0"/>
      <w:divBdr>
        <w:top w:val="none" w:sz="0" w:space="0" w:color="auto"/>
        <w:left w:val="none" w:sz="0" w:space="0" w:color="auto"/>
        <w:bottom w:val="none" w:sz="0" w:space="0" w:color="auto"/>
        <w:right w:val="none" w:sz="0" w:space="0" w:color="auto"/>
      </w:divBdr>
    </w:div>
    <w:div w:id="1352075297">
      <w:bodyDiv w:val="1"/>
      <w:marLeft w:val="0"/>
      <w:marRight w:val="0"/>
      <w:marTop w:val="0"/>
      <w:marBottom w:val="0"/>
      <w:divBdr>
        <w:top w:val="none" w:sz="0" w:space="0" w:color="auto"/>
        <w:left w:val="none" w:sz="0" w:space="0" w:color="auto"/>
        <w:bottom w:val="none" w:sz="0" w:space="0" w:color="auto"/>
        <w:right w:val="none" w:sz="0" w:space="0" w:color="auto"/>
      </w:divBdr>
    </w:div>
    <w:div w:id="1693458450">
      <w:bodyDiv w:val="1"/>
      <w:marLeft w:val="0"/>
      <w:marRight w:val="0"/>
      <w:marTop w:val="0"/>
      <w:marBottom w:val="0"/>
      <w:divBdr>
        <w:top w:val="none" w:sz="0" w:space="0" w:color="auto"/>
        <w:left w:val="none" w:sz="0" w:space="0" w:color="auto"/>
        <w:bottom w:val="none" w:sz="0" w:space="0" w:color="auto"/>
        <w:right w:val="none" w:sz="0" w:space="0" w:color="auto"/>
      </w:divBdr>
    </w:div>
    <w:div w:id="1757436163">
      <w:bodyDiv w:val="1"/>
      <w:marLeft w:val="0"/>
      <w:marRight w:val="0"/>
      <w:marTop w:val="0"/>
      <w:marBottom w:val="0"/>
      <w:divBdr>
        <w:top w:val="none" w:sz="0" w:space="0" w:color="auto"/>
        <w:left w:val="none" w:sz="0" w:space="0" w:color="auto"/>
        <w:bottom w:val="none" w:sz="0" w:space="0" w:color="auto"/>
        <w:right w:val="none" w:sz="0" w:space="0" w:color="auto"/>
      </w:divBdr>
    </w:div>
    <w:div w:id="1867477631">
      <w:bodyDiv w:val="1"/>
      <w:marLeft w:val="0"/>
      <w:marRight w:val="0"/>
      <w:marTop w:val="0"/>
      <w:marBottom w:val="0"/>
      <w:divBdr>
        <w:top w:val="none" w:sz="0" w:space="0" w:color="auto"/>
        <w:left w:val="none" w:sz="0" w:space="0" w:color="auto"/>
        <w:bottom w:val="none" w:sz="0" w:space="0" w:color="auto"/>
        <w:right w:val="none" w:sz="0" w:space="0" w:color="auto"/>
      </w:divBdr>
    </w:div>
    <w:div w:id="19626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t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pott.org/download/7598/" TargetMode="External"/><Relationship Id="rId4" Type="http://schemas.openxmlformats.org/officeDocument/2006/relationships/settings" Target="settings.xml"/><Relationship Id="rId9" Type="http://schemas.openxmlformats.org/officeDocument/2006/relationships/hyperlink" Target="https://www.spott.org/about/technical-adviso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7106-06D8-4918-A3DA-4F402E17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Annabelle Dodson</dc:creator>
  <cp:lastModifiedBy>Alexis Hatto</cp:lastModifiedBy>
  <cp:revision>10</cp:revision>
  <cp:lastPrinted>2017-11-08T17:15:00Z</cp:lastPrinted>
  <dcterms:created xsi:type="dcterms:W3CDTF">2019-05-28T08:52:00Z</dcterms:created>
  <dcterms:modified xsi:type="dcterms:W3CDTF">2019-06-27T13:59:00Z</dcterms:modified>
</cp:coreProperties>
</file>